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3EA47" w14:textId="77777777" w:rsidR="00D8214C" w:rsidRDefault="00D8214C"/>
    <w:p w14:paraId="543FAAA4" w14:textId="77777777" w:rsidR="00D8214C" w:rsidRDefault="00D8214C"/>
    <w:p w14:paraId="2982315E" w14:textId="77777777" w:rsidR="00D8214C" w:rsidRDefault="00D8214C"/>
    <w:p w14:paraId="02ACAA2F" w14:textId="77777777" w:rsidR="00D8214C" w:rsidRDefault="00D8214C">
      <w:pPr>
        <w:rPr>
          <w:b/>
          <w:sz w:val="32"/>
          <w:szCs w:val="32"/>
        </w:rPr>
      </w:pPr>
    </w:p>
    <w:p w14:paraId="3509880B" w14:textId="77777777" w:rsidR="00D8214C" w:rsidRDefault="00D8214C">
      <w:pPr>
        <w:rPr>
          <w:b/>
          <w:sz w:val="32"/>
          <w:szCs w:val="32"/>
        </w:rPr>
      </w:pPr>
    </w:p>
    <w:p w14:paraId="49B4E5F7" w14:textId="77777777" w:rsidR="00D8214C" w:rsidRDefault="00D8214C">
      <w:pPr>
        <w:rPr>
          <w:b/>
          <w:sz w:val="32"/>
          <w:szCs w:val="32"/>
        </w:rPr>
      </w:pPr>
    </w:p>
    <w:p w14:paraId="3BE708A7" w14:textId="77777777" w:rsidR="00D8214C" w:rsidRDefault="00D8214C">
      <w:pPr>
        <w:rPr>
          <w:b/>
          <w:sz w:val="32"/>
          <w:szCs w:val="32"/>
        </w:rPr>
      </w:pPr>
    </w:p>
    <w:p w14:paraId="2943B2EE" w14:textId="77777777" w:rsidR="00D8214C" w:rsidRDefault="004E4A0F">
      <w:pPr>
        <w:jc w:val="center"/>
        <w:rPr>
          <w:b/>
          <w:color w:val="FFD006"/>
          <w:sz w:val="72"/>
          <w:szCs w:val="72"/>
          <w:u w:val="single"/>
        </w:rPr>
      </w:pPr>
      <w:bookmarkStart w:id="0" w:name="_heading=h.gjdgxs" w:colFirst="0" w:colLast="0"/>
      <w:bookmarkEnd w:id="0"/>
      <w:r w:rsidRPr="00926E60">
        <w:rPr>
          <w:b/>
          <w:noProof/>
          <w:color w:val="FFD006"/>
          <w:sz w:val="72"/>
          <w:szCs w:val="72"/>
        </w:rPr>
        <w:drawing>
          <wp:inline distT="114300" distB="114300" distL="114300" distR="114300" wp14:anchorId="18605B8A" wp14:editId="43A46C1D">
            <wp:extent cx="3114675" cy="151447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114675" cy="1514475"/>
                    </a:xfrm>
                    <a:prstGeom prst="rect">
                      <a:avLst/>
                    </a:prstGeom>
                    <a:ln/>
                  </pic:spPr>
                </pic:pic>
              </a:graphicData>
            </a:graphic>
          </wp:inline>
        </w:drawing>
      </w:r>
    </w:p>
    <w:p w14:paraId="25341A25" w14:textId="77777777" w:rsidR="00D8214C" w:rsidRDefault="00D8214C">
      <w:pPr>
        <w:jc w:val="center"/>
        <w:rPr>
          <w:color w:val="000000"/>
          <w:sz w:val="72"/>
          <w:szCs w:val="72"/>
        </w:rPr>
      </w:pPr>
    </w:p>
    <w:p w14:paraId="5ADBD46F" w14:textId="77777777" w:rsidR="00D8214C" w:rsidRDefault="00D8214C">
      <w:pPr>
        <w:jc w:val="center"/>
        <w:rPr>
          <w:color w:val="000000"/>
          <w:sz w:val="72"/>
          <w:szCs w:val="72"/>
        </w:rPr>
      </w:pPr>
    </w:p>
    <w:p w14:paraId="3E717BBE" w14:textId="77777777" w:rsidR="00D8214C" w:rsidRDefault="004E4A0F">
      <w:pPr>
        <w:jc w:val="center"/>
        <w:rPr>
          <w:color w:val="000000"/>
          <w:sz w:val="72"/>
          <w:szCs w:val="72"/>
        </w:rPr>
      </w:pPr>
      <w:r>
        <w:rPr>
          <w:color w:val="000000"/>
          <w:sz w:val="72"/>
          <w:szCs w:val="72"/>
        </w:rPr>
        <w:t>Admissions Policy</w:t>
      </w:r>
    </w:p>
    <w:p w14:paraId="22A50490" w14:textId="77777777" w:rsidR="00D8214C" w:rsidRDefault="00D8214C">
      <w:pPr>
        <w:jc w:val="center"/>
        <w:rPr>
          <w:color w:val="5F5F5F"/>
          <w:sz w:val="80"/>
          <w:szCs w:val="80"/>
        </w:rPr>
      </w:pPr>
    </w:p>
    <w:p w14:paraId="2FACC84D" w14:textId="77777777" w:rsidR="00D8214C" w:rsidRDefault="00D8214C">
      <w:pPr>
        <w:jc w:val="center"/>
        <w:rPr>
          <w:color w:val="5F5F5F"/>
          <w:sz w:val="80"/>
          <w:szCs w:val="80"/>
        </w:rPr>
      </w:pPr>
    </w:p>
    <w:p w14:paraId="128D1076" w14:textId="214300AA" w:rsidR="00D8214C" w:rsidRDefault="00D8214C">
      <w:pPr>
        <w:rPr>
          <w:sz w:val="80"/>
          <w:szCs w:val="80"/>
        </w:rPr>
      </w:pPr>
    </w:p>
    <w:p w14:paraId="48BD3437" w14:textId="0FE96CD2" w:rsidR="00D8214C" w:rsidRDefault="00D8214C">
      <w:pPr>
        <w:rPr>
          <w:sz w:val="80"/>
          <w:szCs w:val="80"/>
        </w:rPr>
      </w:pPr>
    </w:p>
    <w:p w14:paraId="1D890869" w14:textId="3E1E93FF" w:rsidR="00D8214C" w:rsidRDefault="00D8214C">
      <w:pPr>
        <w:pBdr>
          <w:top w:val="nil"/>
          <w:left w:val="nil"/>
          <w:bottom w:val="nil"/>
          <w:right w:val="nil"/>
          <w:between w:val="nil"/>
        </w:pBdr>
        <w:spacing w:before="120" w:after="0" w:line="320" w:lineRule="auto"/>
        <w:ind w:left="360"/>
        <w:rPr>
          <w:rFonts w:cs="Arial"/>
          <w:b/>
          <w:color w:val="000000"/>
          <w:sz w:val="32"/>
          <w:szCs w:val="32"/>
        </w:rPr>
      </w:pPr>
    </w:p>
    <w:p w14:paraId="2D14633C" w14:textId="1B8D606E" w:rsidR="00D8214C" w:rsidRPr="00926E60" w:rsidRDefault="004E4A0F">
      <w:pPr>
        <w:pBdr>
          <w:top w:val="nil"/>
          <w:left w:val="nil"/>
          <w:bottom w:val="nil"/>
          <w:right w:val="nil"/>
          <w:between w:val="nil"/>
        </w:pBdr>
        <w:spacing w:after="120" w:line="320" w:lineRule="auto"/>
        <w:ind w:left="360"/>
        <w:rPr>
          <w:rFonts w:cs="Arial"/>
          <w:b/>
          <w:sz w:val="32"/>
          <w:szCs w:val="32"/>
        </w:rPr>
      </w:pPr>
      <w:r w:rsidRPr="00926E60">
        <w:rPr>
          <w:rFonts w:cs="Arial"/>
          <w:b/>
          <w:sz w:val="32"/>
          <w:szCs w:val="32"/>
        </w:rPr>
        <w:t xml:space="preserve">Contents: </w:t>
      </w:r>
    </w:p>
    <w:p w14:paraId="022FCC64" w14:textId="0A280843" w:rsidR="00D8214C" w:rsidRPr="00926E60" w:rsidRDefault="00817231">
      <w:pPr>
        <w:spacing w:before="120" w:after="120" w:line="320" w:lineRule="auto"/>
        <w:ind w:left="360"/>
      </w:pPr>
      <w:hyperlink w:anchor="_heading=h.1fob9te">
        <w:r w:rsidR="004E4A0F" w:rsidRPr="00926E60">
          <w:t>Statement of intent</w:t>
        </w:r>
      </w:hyperlink>
    </w:p>
    <w:p w14:paraId="7EC0D8C3" w14:textId="3728A847" w:rsidR="00D8214C" w:rsidRPr="00926E60" w:rsidRDefault="00817231">
      <w:pPr>
        <w:numPr>
          <w:ilvl w:val="0"/>
          <w:numId w:val="3"/>
        </w:numPr>
        <w:pBdr>
          <w:top w:val="nil"/>
          <w:left w:val="nil"/>
          <w:bottom w:val="nil"/>
          <w:right w:val="nil"/>
          <w:between w:val="nil"/>
        </w:pBdr>
        <w:spacing w:before="120" w:after="0" w:line="320" w:lineRule="auto"/>
      </w:pPr>
      <w:hyperlink w:anchor="_heading=h.tyjcwt">
        <w:r w:rsidR="004E4A0F" w:rsidRPr="00926E60">
          <w:rPr>
            <w:rFonts w:cs="Arial"/>
          </w:rPr>
          <w:t>Legal framework</w:t>
        </w:r>
      </w:hyperlink>
    </w:p>
    <w:p w14:paraId="4748B923" w14:textId="599909F3" w:rsidR="00D8214C" w:rsidRPr="00926E60" w:rsidRDefault="004E4A0F">
      <w:pPr>
        <w:numPr>
          <w:ilvl w:val="0"/>
          <w:numId w:val="3"/>
        </w:numPr>
        <w:pBdr>
          <w:top w:val="nil"/>
          <w:left w:val="nil"/>
          <w:bottom w:val="nil"/>
          <w:right w:val="nil"/>
          <w:between w:val="nil"/>
        </w:pBdr>
        <w:spacing w:after="0" w:line="320" w:lineRule="auto"/>
      </w:pPr>
      <w:r w:rsidRPr="00926E60">
        <w:rPr>
          <w:rFonts w:cs="Arial"/>
        </w:rPr>
        <w:t>Background</w:t>
      </w:r>
    </w:p>
    <w:p w14:paraId="4BF34DB4" w14:textId="6F6821FA" w:rsidR="00D8214C" w:rsidRPr="00926E60" w:rsidRDefault="00817231">
      <w:pPr>
        <w:numPr>
          <w:ilvl w:val="0"/>
          <w:numId w:val="3"/>
        </w:numPr>
        <w:pBdr>
          <w:top w:val="nil"/>
          <w:left w:val="nil"/>
          <w:bottom w:val="nil"/>
          <w:right w:val="nil"/>
          <w:between w:val="nil"/>
        </w:pBdr>
        <w:spacing w:after="0" w:line="320" w:lineRule="auto"/>
      </w:pPr>
      <w:hyperlink w:anchor="_heading=h.4d34og8">
        <w:r w:rsidR="004E4A0F" w:rsidRPr="00926E60">
          <w:rPr>
            <w:rFonts w:cs="Arial"/>
          </w:rPr>
          <w:t>Admissions</w:t>
        </w:r>
      </w:hyperlink>
    </w:p>
    <w:p w14:paraId="4FF8D200" w14:textId="37A68320" w:rsidR="00D8214C" w:rsidRPr="00926E60" w:rsidRDefault="004E4A0F">
      <w:pPr>
        <w:numPr>
          <w:ilvl w:val="0"/>
          <w:numId w:val="3"/>
        </w:numPr>
        <w:pBdr>
          <w:top w:val="nil"/>
          <w:left w:val="nil"/>
          <w:bottom w:val="nil"/>
          <w:right w:val="nil"/>
          <w:between w:val="nil"/>
        </w:pBdr>
        <w:spacing w:after="0" w:line="320" w:lineRule="auto"/>
      </w:pPr>
      <w:r w:rsidRPr="00926E60">
        <w:rPr>
          <w:rFonts w:cs="Arial"/>
        </w:rPr>
        <w:t>Referral Process</w:t>
      </w:r>
    </w:p>
    <w:p w14:paraId="0A01422A" w14:textId="5821DE36" w:rsidR="00926E60" w:rsidRPr="00926E60" w:rsidRDefault="00926E60">
      <w:pPr>
        <w:numPr>
          <w:ilvl w:val="0"/>
          <w:numId w:val="3"/>
        </w:numPr>
        <w:pBdr>
          <w:top w:val="nil"/>
          <w:left w:val="nil"/>
          <w:bottom w:val="nil"/>
          <w:right w:val="nil"/>
          <w:between w:val="nil"/>
        </w:pBdr>
        <w:spacing w:after="0" w:line="320" w:lineRule="auto"/>
      </w:pPr>
      <w:r>
        <w:rPr>
          <w:rFonts w:cs="Arial"/>
        </w:rPr>
        <w:t xml:space="preserve">Equality impact statement </w:t>
      </w:r>
    </w:p>
    <w:p w14:paraId="5318FE0E" w14:textId="3C6043F7" w:rsidR="00926E60" w:rsidRDefault="00926E60" w:rsidP="00926E60">
      <w:pPr>
        <w:numPr>
          <w:ilvl w:val="0"/>
          <w:numId w:val="3"/>
        </w:numPr>
        <w:pBdr>
          <w:top w:val="nil"/>
          <w:left w:val="nil"/>
          <w:bottom w:val="nil"/>
          <w:right w:val="nil"/>
          <w:between w:val="nil"/>
        </w:pBdr>
        <w:spacing w:after="120" w:line="320" w:lineRule="auto"/>
        <w:rPr>
          <w:rFonts w:cs="Arial"/>
        </w:rPr>
      </w:pPr>
      <w:bookmarkStart w:id="1" w:name="_heading=h.30j0zll" w:colFirst="0" w:colLast="0"/>
      <w:bookmarkEnd w:id="1"/>
      <w:r>
        <w:rPr>
          <w:rFonts w:cs="Arial"/>
        </w:rPr>
        <w:t>Monitoring and review</w:t>
      </w:r>
    </w:p>
    <w:p w14:paraId="5C7BDB97" w14:textId="77777777" w:rsidR="00926E60" w:rsidRDefault="00926E60" w:rsidP="00926E60">
      <w:pPr>
        <w:pBdr>
          <w:top w:val="nil"/>
          <w:left w:val="nil"/>
          <w:bottom w:val="nil"/>
          <w:right w:val="nil"/>
          <w:between w:val="nil"/>
        </w:pBdr>
        <w:spacing w:after="120" w:line="320" w:lineRule="auto"/>
        <w:rPr>
          <w:rFonts w:cs="Arial"/>
        </w:rPr>
      </w:pPr>
    </w:p>
    <w:p w14:paraId="2ECCC686" w14:textId="77777777" w:rsidR="00926E60" w:rsidRDefault="00926E60" w:rsidP="00926E60">
      <w:pPr>
        <w:pBdr>
          <w:top w:val="nil"/>
          <w:left w:val="nil"/>
          <w:bottom w:val="nil"/>
          <w:right w:val="nil"/>
          <w:between w:val="nil"/>
        </w:pBdr>
        <w:spacing w:after="120" w:line="320" w:lineRule="auto"/>
        <w:rPr>
          <w:rFonts w:cs="Arial"/>
        </w:rPr>
      </w:pPr>
    </w:p>
    <w:p w14:paraId="7FD3D252" w14:textId="77777777" w:rsidR="00926E60" w:rsidRDefault="00926E60" w:rsidP="00926E60">
      <w:pPr>
        <w:pBdr>
          <w:top w:val="nil"/>
          <w:left w:val="nil"/>
          <w:bottom w:val="nil"/>
          <w:right w:val="nil"/>
          <w:between w:val="nil"/>
        </w:pBdr>
        <w:spacing w:after="120" w:line="320" w:lineRule="auto"/>
        <w:rPr>
          <w:rFonts w:cs="Arial"/>
        </w:rPr>
      </w:pPr>
    </w:p>
    <w:p w14:paraId="230523CE" w14:textId="77777777" w:rsidR="00926E60" w:rsidRDefault="00926E60" w:rsidP="00926E60">
      <w:pPr>
        <w:pBdr>
          <w:top w:val="nil"/>
          <w:left w:val="nil"/>
          <w:bottom w:val="nil"/>
          <w:right w:val="nil"/>
          <w:between w:val="nil"/>
        </w:pBdr>
        <w:spacing w:after="120" w:line="320" w:lineRule="auto"/>
        <w:rPr>
          <w:rFonts w:cs="Arial"/>
        </w:rPr>
      </w:pPr>
    </w:p>
    <w:p w14:paraId="59138CC0" w14:textId="77777777" w:rsidR="00926E60" w:rsidRDefault="00926E60" w:rsidP="00926E60">
      <w:pPr>
        <w:pBdr>
          <w:top w:val="nil"/>
          <w:left w:val="nil"/>
          <w:bottom w:val="nil"/>
          <w:right w:val="nil"/>
          <w:between w:val="nil"/>
        </w:pBdr>
        <w:spacing w:after="120" w:line="320" w:lineRule="auto"/>
        <w:rPr>
          <w:rFonts w:cs="Arial"/>
        </w:rPr>
      </w:pPr>
    </w:p>
    <w:p w14:paraId="5C2C705D" w14:textId="173B4D5C" w:rsidR="00D8214C" w:rsidRPr="00926E60" w:rsidRDefault="00926E60" w:rsidP="00926E60">
      <w:pPr>
        <w:pBdr>
          <w:top w:val="nil"/>
          <w:left w:val="nil"/>
          <w:bottom w:val="nil"/>
          <w:right w:val="nil"/>
          <w:between w:val="nil"/>
        </w:pBdr>
        <w:spacing w:after="120" w:line="320" w:lineRule="auto"/>
        <w:rPr>
          <w:rFonts w:cs="Arial"/>
        </w:rPr>
      </w:pPr>
      <w:r>
        <w:rPr>
          <w:noProof/>
        </w:rPr>
        <mc:AlternateContent>
          <mc:Choice Requires="wps">
            <w:drawing>
              <wp:anchor distT="45720" distB="45720" distL="114300" distR="114300" simplePos="0" relativeHeight="251658240" behindDoc="0" locked="0" layoutInCell="1" hidden="0" allowOverlap="1" wp14:anchorId="15D46A1B" wp14:editId="3AEF2DCE">
                <wp:simplePos x="0" y="0"/>
                <wp:positionH relativeFrom="column">
                  <wp:align>left</wp:align>
                </wp:positionH>
                <wp:positionV relativeFrom="paragraph">
                  <wp:posOffset>3903799</wp:posOffset>
                </wp:positionV>
                <wp:extent cx="2372400" cy="259200"/>
                <wp:effectExtent l="0" t="0" r="254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372400" cy="259200"/>
                        </a:xfrm>
                        <a:prstGeom prst="rect">
                          <a:avLst/>
                        </a:prstGeom>
                        <a:solidFill>
                          <a:srgbClr val="FFFFFF"/>
                        </a:solidFill>
                        <a:ln>
                          <a:noFill/>
                        </a:ln>
                      </wps:spPr>
                      <wps:txbx>
                        <w:txbxContent>
                          <w:p w14:paraId="3A056BD1" w14:textId="723927F0" w:rsidR="00D8214C" w:rsidRDefault="004E4A0F">
                            <w:pPr>
                              <w:spacing w:line="275" w:lineRule="auto"/>
                              <w:textDirection w:val="btLr"/>
                            </w:pPr>
                            <w:r>
                              <w:rPr>
                                <w:rFonts w:cs="Arial"/>
                                <w:color w:val="000000"/>
                                <w:sz w:val="20"/>
                              </w:rPr>
                              <w:t xml:space="preserve">Last updated: </w:t>
                            </w:r>
                            <w:r w:rsidR="002622FA">
                              <w:rPr>
                                <w:rFonts w:cs="Arial"/>
                                <w:color w:val="000000"/>
                                <w:sz w:val="20"/>
                              </w:rPr>
                              <w:t>14 February 2021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D46A1B" id="Rectangle 219" o:spid="_x0000_s1026" style="position:absolute;margin-left:0;margin-top:307.4pt;width:186.8pt;height:20.4pt;z-index:25165824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" stroked="f">
                <v:textbox inset="2.53958mm,1.2694mm,2.53958mm,1.2694mm">
                  <w:txbxContent>
                    <w:p w14:paraId="3A056BD1" w14:textId="723927F0" w:rsidR="00D8214C" w:rsidRDefault="004E4A0F">
                      <w:pPr>
                        <w:spacing w:line="275" w:lineRule="auto"/>
                        <w:textDirection w:val="btLr"/>
                      </w:pPr>
                      <w:r>
                        <w:rPr>
                          <w:rFonts w:cs="Arial"/>
                          <w:color w:val="000000"/>
                          <w:sz w:val="20"/>
                        </w:rPr>
                        <w:t xml:space="preserve">Last updated: </w:t>
                      </w:r>
                      <w:r w:rsidR="002622FA">
                        <w:rPr>
                          <w:rFonts w:cs="Arial"/>
                          <w:color w:val="000000"/>
                          <w:sz w:val="20"/>
                        </w:rPr>
                        <w:t>14 February 2021</w:t>
                      </w:r>
                    </w:p>
                  </w:txbxContent>
                </v:textbox>
                <w10:wrap type="square"/>
              </v:rect>
            </w:pict>
          </mc:Fallback>
        </mc:AlternateContent>
      </w:r>
      <w:r w:rsidR="004E4A0F">
        <w:br w:type="page"/>
      </w:r>
    </w:p>
    <w:p w14:paraId="2FDF8F48" w14:textId="77777777" w:rsidR="00D8214C" w:rsidRDefault="004E4A0F">
      <w:pPr>
        <w:pStyle w:val="Heading2"/>
        <w:spacing w:after="200"/>
        <w:ind w:left="578" w:hanging="578"/>
        <w:jc w:val="both"/>
        <w:rPr>
          <w:rFonts w:ascii="Arial" w:hAnsi="Arial"/>
          <w:b/>
          <w:sz w:val="28"/>
          <w:szCs w:val="28"/>
        </w:rPr>
      </w:pPr>
      <w:bookmarkStart w:id="2" w:name="bookmark=id.2et92p0" w:colFirst="0" w:colLast="0"/>
      <w:bookmarkStart w:id="3" w:name="bookmark=id.3znysh7" w:colFirst="0" w:colLast="0"/>
      <w:bookmarkStart w:id="4" w:name="_heading=h.1fob9te" w:colFirst="0" w:colLast="0"/>
      <w:bookmarkEnd w:id="2"/>
      <w:bookmarkEnd w:id="3"/>
      <w:bookmarkEnd w:id="4"/>
      <w:r>
        <w:rPr>
          <w:rFonts w:ascii="Arial" w:hAnsi="Arial"/>
          <w:b/>
          <w:sz w:val="28"/>
          <w:szCs w:val="28"/>
        </w:rPr>
        <w:lastRenderedPageBreak/>
        <w:t xml:space="preserve">Statement of intent </w:t>
      </w:r>
    </w:p>
    <w:p w14:paraId="2E8886E3" w14:textId="3C767C6E" w:rsidR="00D8214C" w:rsidRDefault="004E4A0F">
      <w:pPr>
        <w:jc w:val="both"/>
      </w:pPr>
      <w:r>
        <w:t xml:space="preserve">At </w:t>
      </w:r>
      <w:proofErr w:type="gramStart"/>
      <w:r>
        <w:t>The</w:t>
      </w:r>
      <w:proofErr w:type="gramEnd"/>
      <w:r>
        <w:t xml:space="preserve"> Wildings, we welcome all </w:t>
      </w:r>
      <w:r w:rsidR="00926E60">
        <w:t>young people</w:t>
      </w:r>
      <w:r>
        <w:t>, and places at the school are offered in an open and fair way. Our admissions process is delivered in line with the Equality Act 2010, the School Admissions Code, the School Admission Appeals Code, the Human Rights Act 1998 and the School Standards and Framework Act 1998.</w:t>
      </w:r>
    </w:p>
    <w:p w14:paraId="46AB821D" w14:textId="77777777" w:rsidR="00D8214C" w:rsidRDefault="004E4A0F">
      <w:pPr>
        <w:jc w:val="both"/>
      </w:pPr>
      <w:r>
        <w:t>The number of places available is determined by the capacity of the school, and is called the ‘agreed admissions number’. Our published admissions number (PAN) is 5.</w:t>
      </w:r>
    </w:p>
    <w:p w14:paraId="3CAB6F99" w14:textId="77777777" w:rsidR="00D8214C" w:rsidRDefault="00D8214C">
      <w:pPr>
        <w:jc w:val="both"/>
      </w:pPr>
    </w:p>
    <w:p w14:paraId="17E50AFD" w14:textId="77777777" w:rsidR="00D8214C" w:rsidRDefault="00D8214C">
      <w:pPr>
        <w:jc w:val="both"/>
      </w:pPr>
    </w:p>
    <w:p w14:paraId="48E34D8C" w14:textId="77777777" w:rsidR="00D8214C" w:rsidRDefault="00D8214C">
      <w:pPr>
        <w:jc w:val="both"/>
      </w:pPr>
    </w:p>
    <w:p w14:paraId="5322D231" w14:textId="77777777" w:rsidR="00D8214C" w:rsidRDefault="00D8214C">
      <w:pPr>
        <w:jc w:val="both"/>
      </w:pPr>
    </w:p>
    <w:p w14:paraId="79E695F0" w14:textId="77777777" w:rsidR="00D8214C" w:rsidRDefault="00D8214C">
      <w:pPr>
        <w:jc w:val="both"/>
      </w:pPr>
    </w:p>
    <w:p w14:paraId="1E1306DC" w14:textId="77777777" w:rsidR="00D8214C" w:rsidRDefault="00D8214C">
      <w:pPr>
        <w:jc w:val="both"/>
      </w:pPr>
    </w:p>
    <w:p w14:paraId="5AFAE456" w14:textId="77777777" w:rsidR="00D8214C" w:rsidRDefault="00D8214C">
      <w:pPr>
        <w:jc w:val="both"/>
      </w:pPr>
    </w:p>
    <w:p w14:paraId="7F91F326" w14:textId="77777777" w:rsidR="00D8214C" w:rsidRDefault="00D8214C">
      <w:pPr>
        <w:jc w:val="both"/>
      </w:pPr>
    </w:p>
    <w:p w14:paraId="1D29F9FC" w14:textId="77777777" w:rsidR="00D8214C" w:rsidRDefault="00D8214C">
      <w:pPr>
        <w:jc w:val="both"/>
      </w:pPr>
    </w:p>
    <w:p w14:paraId="6E67F1B7" w14:textId="77777777" w:rsidR="00D8214C" w:rsidRDefault="00D8214C">
      <w:pPr>
        <w:jc w:val="both"/>
        <w:sectPr w:rsidR="00D821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0"/>
          <w:cols w:space="720" w:equalWidth="0">
            <w:col w:w="9360"/>
          </w:cols>
        </w:sectPr>
      </w:pPr>
    </w:p>
    <w:p w14:paraId="24B0EA06" w14:textId="77777777" w:rsidR="00D8214C" w:rsidRDefault="004E4A0F">
      <w:pPr>
        <w:pStyle w:val="Heading10"/>
        <w:numPr>
          <w:ilvl w:val="0"/>
          <w:numId w:val="2"/>
        </w:numPr>
        <w:jc w:val="both"/>
      </w:pPr>
      <w:bookmarkStart w:id="5" w:name="_heading=h.tyjcwt" w:colFirst="0" w:colLast="0"/>
      <w:bookmarkEnd w:id="5"/>
      <w:r>
        <w:lastRenderedPageBreak/>
        <w:t>Legal framework</w:t>
      </w:r>
    </w:p>
    <w:p w14:paraId="320EBB6D" w14:textId="77777777" w:rsidR="00D8214C" w:rsidRDefault="004E4A0F">
      <w:pPr>
        <w:numPr>
          <w:ilvl w:val="1"/>
          <w:numId w:val="2"/>
        </w:numPr>
        <w:pBdr>
          <w:top w:val="nil"/>
          <w:left w:val="nil"/>
          <w:bottom w:val="nil"/>
          <w:right w:val="nil"/>
          <w:between w:val="nil"/>
        </w:pBdr>
        <w:jc w:val="both"/>
      </w:pPr>
      <w:r>
        <w:rPr>
          <w:rFonts w:cs="Arial"/>
          <w:color w:val="000000"/>
        </w:rPr>
        <w:t xml:space="preserve">This policy has due regard to all relevant legislation and statutory guidance including, but not limited to, the following: </w:t>
      </w:r>
    </w:p>
    <w:p w14:paraId="7A3916DE"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Equality Act 2010</w:t>
      </w:r>
    </w:p>
    <w:p w14:paraId="7B2F2D6B"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Human Rights Act 1998</w:t>
      </w:r>
    </w:p>
    <w:p w14:paraId="5BEE5BEE"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School Standards and Framework Act 1998</w:t>
      </w:r>
    </w:p>
    <w:p w14:paraId="62498F41"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 xml:space="preserve">DfE (2014) ‘School Admissions Code’ </w:t>
      </w:r>
    </w:p>
    <w:p w14:paraId="3B0989A1"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 xml:space="preserve">DfE (2012) ‘School Admission Appeals Code’ </w:t>
      </w:r>
    </w:p>
    <w:p w14:paraId="77F1B73B"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The Education (Independent School Standards) Regulations 2014</w:t>
      </w:r>
    </w:p>
    <w:p w14:paraId="0F0F5928" w14:textId="77777777" w:rsidR="00D8214C" w:rsidRDefault="004E4A0F">
      <w:pPr>
        <w:numPr>
          <w:ilvl w:val="1"/>
          <w:numId w:val="2"/>
        </w:numPr>
        <w:pBdr>
          <w:top w:val="nil"/>
          <w:left w:val="nil"/>
          <w:bottom w:val="nil"/>
          <w:right w:val="nil"/>
          <w:between w:val="nil"/>
        </w:pBdr>
        <w:jc w:val="both"/>
      </w:pPr>
      <w:r>
        <w:rPr>
          <w:rFonts w:cs="Arial"/>
          <w:color w:val="000000"/>
        </w:rPr>
        <w:t>This policy operates in conjunction with the following school policies:</w:t>
      </w:r>
    </w:p>
    <w:p w14:paraId="5ADC1DC9"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 xml:space="preserve">Equal Opportunities Policy </w:t>
      </w:r>
    </w:p>
    <w:p w14:paraId="496F8215"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Data Protection Policy</w:t>
      </w:r>
    </w:p>
    <w:p w14:paraId="55DE4634" w14:textId="77777777" w:rsidR="00D8214C" w:rsidRDefault="004E4A0F">
      <w:pPr>
        <w:pStyle w:val="Heading10"/>
        <w:numPr>
          <w:ilvl w:val="0"/>
          <w:numId w:val="2"/>
        </w:numPr>
        <w:spacing w:before="240"/>
        <w:jc w:val="both"/>
      </w:pPr>
      <w:bookmarkStart w:id="6" w:name="bookmark=id.1t3h5sf" w:colFirst="0" w:colLast="0"/>
      <w:bookmarkStart w:id="7" w:name="_heading=h.3dy6vkm" w:colFirst="0" w:colLast="0"/>
      <w:bookmarkEnd w:id="6"/>
      <w:bookmarkEnd w:id="7"/>
      <w:r>
        <w:t xml:space="preserve">Background </w:t>
      </w:r>
    </w:p>
    <w:p w14:paraId="4B382C48" w14:textId="59598C69" w:rsidR="00D8214C" w:rsidRDefault="004E4A0F">
      <w:pPr>
        <w:numPr>
          <w:ilvl w:val="1"/>
          <w:numId w:val="2"/>
        </w:numPr>
        <w:pBdr>
          <w:top w:val="nil"/>
          <w:left w:val="nil"/>
          <w:bottom w:val="nil"/>
          <w:right w:val="nil"/>
          <w:between w:val="nil"/>
        </w:pBdr>
        <w:jc w:val="both"/>
      </w:pPr>
      <w:r>
        <w:rPr>
          <w:rFonts w:cs="Arial"/>
          <w:color w:val="000000"/>
        </w:rPr>
        <w:t xml:space="preserve">At </w:t>
      </w:r>
      <w:proofErr w:type="gramStart"/>
      <w:r>
        <w:rPr>
          <w:rFonts w:cs="Arial"/>
          <w:color w:val="000000"/>
        </w:rPr>
        <w:t>The</w:t>
      </w:r>
      <w:proofErr w:type="gramEnd"/>
      <w:r>
        <w:rPr>
          <w:rFonts w:cs="Arial"/>
          <w:color w:val="000000"/>
        </w:rPr>
        <w:t xml:space="preserve"> Wildings we aim to connect with the young people and their families who enter our community, and help to build resilience that will prepare them for a happy and successful life.  We are committed to helping </w:t>
      </w:r>
      <w:r w:rsidR="00926E60">
        <w:rPr>
          <w:rFonts w:cs="Arial"/>
          <w:color w:val="000000"/>
        </w:rPr>
        <w:t>young people</w:t>
      </w:r>
      <w:r>
        <w:rPr>
          <w:rFonts w:cs="Arial"/>
          <w:color w:val="000000"/>
        </w:rPr>
        <w:t xml:space="preserve"> create their own pathways in recovery and growth.  Admissions to The Wildings come from Local Authorities, from </w:t>
      </w:r>
      <w:r w:rsidR="00926E60">
        <w:rPr>
          <w:rFonts w:cs="Arial"/>
          <w:color w:val="000000"/>
        </w:rPr>
        <w:t>young people</w:t>
      </w:r>
      <w:r>
        <w:rPr>
          <w:rFonts w:cs="Arial"/>
          <w:color w:val="000000"/>
        </w:rPr>
        <w:t xml:space="preserve"> who have experienced difficulties in traditional main stream settings, and who are experiencing social, emotional and mental health and learning difficulties. </w:t>
      </w:r>
    </w:p>
    <w:p w14:paraId="45079581" w14:textId="77777777" w:rsidR="00D8214C" w:rsidRDefault="004E4A0F">
      <w:pPr>
        <w:pStyle w:val="Heading10"/>
        <w:numPr>
          <w:ilvl w:val="0"/>
          <w:numId w:val="2"/>
        </w:numPr>
        <w:jc w:val="both"/>
      </w:pPr>
      <w:bookmarkStart w:id="8" w:name="_heading=h.4d34og8" w:colFirst="0" w:colLast="0"/>
      <w:bookmarkEnd w:id="8"/>
      <w:r>
        <w:t xml:space="preserve">Admissions </w:t>
      </w:r>
    </w:p>
    <w:p w14:paraId="4EFF5D6A" w14:textId="39310EE6" w:rsidR="00D8214C" w:rsidRDefault="004E4A0F">
      <w:pPr>
        <w:ind w:left="1480"/>
        <w:jc w:val="both"/>
        <w:rPr>
          <w:b/>
        </w:rPr>
      </w:pPr>
      <w:r>
        <w:rPr>
          <w:b/>
        </w:rPr>
        <w:t xml:space="preserve">Admissions Criteria must be met before a </w:t>
      </w:r>
      <w:r w:rsidR="00926E60">
        <w:rPr>
          <w:b/>
        </w:rPr>
        <w:t>young person</w:t>
      </w:r>
      <w:r>
        <w:rPr>
          <w:b/>
        </w:rPr>
        <w:t xml:space="preserve"> can be admitted into the school.  The following may apply: </w:t>
      </w:r>
    </w:p>
    <w:p w14:paraId="35AF8666" w14:textId="6F432932" w:rsidR="00D8214C" w:rsidRDefault="004E4A0F">
      <w:pPr>
        <w:numPr>
          <w:ilvl w:val="1"/>
          <w:numId w:val="2"/>
        </w:numPr>
        <w:pBdr>
          <w:top w:val="nil"/>
          <w:left w:val="nil"/>
          <w:bottom w:val="nil"/>
          <w:right w:val="nil"/>
          <w:between w:val="nil"/>
        </w:pBdr>
        <w:jc w:val="both"/>
      </w:pPr>
      <w:r>
        <w:rPr>
          <w:rFonts w:cs="Arial"/>
          <w:color w:val="000000"/>
        </w:rPr>
        <w:t xml:space="preserve">The </w:t>
      </w:r>
      <w:r w:rsidR="00926E60">
        <w:rPr>
          <w:rFonts w:cs="Arial"/>
          <w:color w:val="000000"/>
        </w:rPr>
        <w:t>young person</w:t>
      </w:r>
      <w:r>
        <w:rPr>
          <w:rFonts w:cs="Arial"/>
          <w:color w:val="000000"/>
        </w:rPr>
        <w:t xml:space="preserve"> must have a Statement of Special Educational Need or specific need associated with Education, Health and Care Plan (EHCP) </w:t>
      </w:r>
    </w:p>
    <w:p w14:paraId="29C3B732" w14:textId="74CCE5DA" w:rsidR="00D8214C" w:rsidRDefault="004E4A0F">
      <w:pPr>
        <w:numPr>
          <w:ilvl w:val="1"/>
          <w:numId w:val="2"/>
        </w:numPr>
        <w:pBdr>
          <w:top w:val="nil"/>
          <w:left w:val="nil"/>
          <w:bottom w:val="nil"/>
          <w:right w:val="nil"/>
          <w:between w:val="nil"/>
        </w:pBdr>
        <w:jc w:val="both"/>
        <w:rPr>
          <w:rFonts w:cs="Arial"/>
          <w:b/>
          <w:color w:val="367188"/>
        </w:rPr>
      </w:pPr>
      <w:r>
        <w:rPr>
          <w:rFonts w:cs="Arial"/>
          <w:color w:val="000000"/>
        </w:rPr>
        <w:t xml:space="preserve">The </w:t>
      </w:r>
      <w:r w:rsidR="00926E60">
        <w:rPr>
          <w:rFonts w:cs="Arial"/>
          <w:color w:val="000000"/>
        </w:rPr>
        <w:t>young person</w:t>
      </w:r>
      <w:r>
        <w:rPr>
          <w:rFonts w:cs="Arial"/>
          <w:color w:val="000000"/>
        </w:rPr>
        <w:t xml:space="preserve"> is aged between 7 – 18 years. </w:t>
      </w:r>
    </w:p>
    <w:p w14:paraId="5457BF39" w14:textId="67F00304" w:rsidR="00D8214C" w:rsidRDefault="004E4A0F">
      <w:pPr>
        <w:numPr>
          <w:ilvl w:val="1"/>
          <w:numId w:val="2"/>
        </w:numPr>
        <w:pBdr>
          <w:top w:val="nil"/>
          <w:left w:val="nil"/>
          <w:bottom w:val="nil"/>
          <w:right w:val="nil"/>
          <w:between w:val="nil"/>
        </w:pBdr>
        <w:jc w:val="both"/>
        <w:rPr>
          <w:rFonts w:cs="Arial"/>
          <w:b/>
          <w:color w:val="367188"/>
        </w:rPr>
      </w:pPr>
      <w:r>
        <w:rPr>
          <w:rFonts w:cs="Arial"/>
          <w:color w:val="000000"/>
        </w:rPr>
        <w:t xml:space="preserve">The </w:t>
      </w:r>
      <w:r w:rsidR="00926E60">
        <w:rPr>
          <w:rFonts w:cs="Arial"/>
          <w:color w:val="000000"/>
        </w:rPr>
        <w:t>young person</w:t>
      </w:r>
      <w:r>
        <w:rPr>
          <w:rFonts w:cs="Arial"/>
          <w:color w:val="000000"/>
        </w:rPr>
        <w:t xml:space="preserve"> has difficulties with regulating behaviours, and other associated behaviours that others may find challenging, including diagnosis of being on the ASC spectrum and a variety of other syndromes that can directly affect emotional and behavioural difficulties. </w:t>
      </w:r>
    </w:p>
    <w:p w14:paraId="454FC12D" w14:textId="1A60908B" w:rsidR="00D8214C" w:rsidRDefault="004E4A0F">
      <w:pPr>
        <w:numPr>
          <w:ilvl w:val="1"/>
          <w:numId w:val="2"/>
        </w:numPr>
        <w:pBdr>
          <w:top w:val="nil"/>
          <w:left w:val="nil"/>
          <w:bottom w:val="nil"/>
          <w:right w:val="nil"/>
          <w:between w:val="nil"/>
        </w:pBdr>
        <w:jc w:val="both"/>
        <w:rPr>
          <w:rFonts w:cs="Arial"/>
          <w:b/>
          <w:color w:val="367188"/>
        </w:rPr>
      </w:pPr>
      <w:r>
        <w:rPr>
          <w:rFonts w:cs="Arial"/>
          <w:color w:val="000000"/>
        </w:rPr>
        <w:t xml:space="preserve">The </w:t>
      </w:r>
      <w:r w:rsidR="00926E60">
        <w:rPr>
          <w:rFonts w:cs="Arial"/>
          <w:color w:val="000000"/>
        </w:rPr>
        <w:t>young person</w:t>
      </w:r>
      <w:r>
        <w:rPr>
          <w:rFonts w:cs="Arial"/>
          <w:color w:val="000000"/>
        </w:rPr>
        <w:t xml:space="preserve"> is in enhanced care by Children’s Services and could be placed locally but the education is the responsibility of the placing authority.  The </w:t>
      </w:r>
      <w:r w:rsidR="00926E60">
        <w:rPr>
          <w:rFonts w:cs="Arial"/>
          <w:color w:val="000000"/>
        </w:rPr>
        <w:t>young person</w:t>
      </w:r>
      <w:r>
        <w:rPr>
          <w:rFonts w:cs="Arial"/>
          <w:color w:val="000000"/>
        </w:rPr>
        <w:t xml:space="preserve"> may have a long history of non-engagement with education. </w:t>
      </w:r>
    </w:p>
    <w:p w14:paraId="1FB2C287" w14:textId="0595D9A0" w:rsidR="00D8214C" w:rsidRPr="00926E60" w:rsidRDefault="004E4A0F">
      <w:pPr>
        <w:numPr>
          <w:ilvl w:val="1"/>
          <w:numId w:val="2"/>
        </w:numPr>
        <w:pBdr>
          <w:top w:val="nil"/>
          <w:left w:val="nil"/>
          <w:bottom w:val="nil"/>
          <w:right w:val="nil"/>
          <w:between w:val="nil"/>
        </w:pBdr>
        <w:jc w:val="both"/>
        <w:rPr>
          <w:rFonts w:cs="Arial"/>
          <w:b/>
          <w:color w:val="367188"/>
        </w:rPr>
      </w:pPr>
      <w:r>
        <w:rPr>
          <w:rFonts w:cs="Arial"/>
          <w:color w:val="000000"/>
        </w:rPr>
        <w:t xml:space="preserve">Funding to be agreed by the relevant authority before integration to the school could commence. </w:t>
      </w:r>
    </w:p>
    <w:p w14:paraId="60CA7A48" w14:textId="77777777" w:rsidR="00926E60" w:rsidRDefault="00926E60" w:rsidP="00926E60">
      <w:pPr>
        <w:pBdr>
          <w:top w:val="nil"/>
          <w:left w:val="nil"/>
          <w:bottom w:val="nil"/>
          <w:right w:val="nil"/>
          <w:between w:val="nil"/>
        </w:pBdr>
        <w:ind w:left="792"/>
        <w:jc w:val="both"/>
        <w:rPr>
          <w:rFonts w:cs="Arial"/>
          <w:b/>
          <w:color w:val="367188"/>
        </w:rPr>
      </w:pPr>
    </w:p>
    <w:p w14:paraId="27DD6D17" w14:textId="77777777" w:rsidR="00D8214C" w:rsidRDefault="004E4A0F">
      <w:pPr>
        <w:pBdr>
          <w:top w:val="nil"/>
          <w:left w:val="nil"/>
          <w:bottom w:val="nil"/>
          <w:right w:val="nil"/>
          <w:between w:val="nil"/>
        </w:pBdr>
        <w:ind w:left="1480" w:hanging="482"/>
        <w:jc w:val="both"/>
        <w:rPr>
          <w:rFonts w:cs="Arial"/>
          <w:b/>
          <w:color w:val="000000"/>
        </w:rPr>
      </w:pPr>
      <w:r>
        <w:rPr>
          <w:rFonts w:cs="Arial"/>
          <w:b/>
          <w:color w:val="000000"/>
        </w:rPr>
        <w:lastRenderedPageBreak/>
        <w:t>Admissions procedures</w:t>
      </w:r>
      <w:r>
        <w:rPr>
          <w:rFonts w:cs="Arial"/>
          <w:color w:val="000000"/>
        </w:rPr>
        <w:tab/>
      </w:r>
    </w:p>
    <w:p w14:paraId="74AEE019" w14:textId="344C2DCE" w:rsidR="00D8214C" w:rsidRDefault="004E4A0F">
      <w:pPr>
        <w:numPr>
          <w:ilvl w:val="1"/>
          <w:numId w:val="2"/>
        </w:numPr>
        <w:pBdr>
          <w:top w:val="nil"/>
          <w:left w:val="nil"/>
          <w:bottom w:val="nil"/>
          <w:right w:val="nil"/>
          <w:between w:val="nil"/>
        </w:pBdr>
        <w:jc w:val="both"/>
      </w:pPr>
      <w:r>
        <w:rPr>
          <w:rFonts w:cs="Arial"/>
          <w:color w:val="000000"/>
        </w:rPr>
        <w:t xml:space="preserve">The Wildings will receive an offer of consultation from a Local Authority.  Although it is not uncommon for a parent to contact The Wildings directly, in regards to this The Wildings would advise the </w:t>
      </w:r>
      <w:r w:rsidR="00926E60">
        <w:rPr>
          <w:rFonts w:cs="Arial"/>
          <w:color w:val="000000"/>
        </w:rPr>
        <w:t xml:space="preserve">person to speak to their </w:t>
      </w:r>
      <w:r>
        <w:rPr>
          <w:rFonts w:cs="Arial"/>
          <w:color w:val="000000"/>
        </w:rPr>
        <w:t xml:space="preserve">Local Authority to seek advice.  Internal meeting will be held in order to discuss the child and whether or not The Wildings will be able to meet their needs. </w:t>
      </w:r>
    </w:p>
    <w:p w14:paraId="73D809A1" w14:textId="77777777" w:rsidR="00D8214C" w:rsidRDefault="004E4A0F">
      <w:pPr>
        <w:numPr>
          <w:ilvl w:val="1"/>
          <w:numId w:val="2"/>
        </w:numPr>
        <w:pBdr>
          <w:top w:val="nil"/>
          <w:left w:val="nil"/>
          <w:bottom w:val="nil"/>
          <w:right w:val="nil"/>
          <w:between w:val="nil"/>
        </w:pBdr>
        <w:jc w:val="both"/>
      </w:pPr>
      <w:r>
        <w:rPr>
          <w:rFonts w:cs="Arial"/>
          <w:color w:val="000000"/>
        </w:rPr>
        <w:t>The school will offer open events and school visits to all potential applicants, irrespective of any protected characteristics. Where necessary, the school will make reasonable adjustments for disabled applicants or disabled parents.</w:t>
      </w:r>
    </w:p>
    <w:p w14:paraId="41F64AB7" w14:textId="77777777" w:rsidR="00D8214C" w:rsidRDefault="004E4A0F">
      <w:pPr>
        <w:pBdr>
          <w:top w:val="nil"/>
          <w:left w:val="nil"/>
          <w:bottom w:val="nil"/>
          <w:right w:val="nil"/>
          <w:between w:val="nil"/>
        </w:pBdr>
        <w:tabs>
          <w:tab w:val="left" w:pos="3686"/>
        </w:tabs>
        <w:spacing w:after="120"/>
        <w:ind w:left="1780" w:hanging="360"/>
        <w:jc w:val="both"/>
        <w:rPr>
          <w:rFonts w:cs="Arial"/>
          <w:color w:val="000000"/>
        </w:rPr>
      </w:pPr>
      <w:r>
        <w:rPr>
          <w:rFonts w:cs="Arial"/>
          <w:color w:val="000000"/>
        </w:rPr>
        <w:t xml:space="preserve">The school may assess its ability to cater to the applicant’s needs by: </w:t>
      </w:r>
    </w:p>
    <w:p w14:paraId="209D379B" w14:textId="174CB8A8"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 xml:space="preserve">Internal school meeting to determine whether we can meet the needs of the </w:t>
      </w:r>
      <w:r w:rsidR="00926E60">
        <w:rPr>
          <w:rFonts w:cs="Arial"/>
          <w:color w:val="000000"/>
        </w:rPr>
        <w:t>young person</w:t>
      </w:r>
      <w:r>
        <w:rPr>
          <w:rFonts w:cs="Arial"/>
          <w:color w:val="000000"/>
        </w:rPr>
        <w:t>.</w:t>
      </w:r>
    </w:p>
    <w:p w14:paraId="4A6B0914" w14:textId="1B8750A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 xml:space="preserve">Discussions with the family of the </w:t>
      </w:r>
      <w:r w:rsidR="00926E60">
        <w:rPr>
          <w:rFonts w:cs="Arial"/>
          <w:color w:val="000000"/>
        </w:rPr>
        <w:t>young person</w:t>
      </w:r>
      <w:r>
        <w:rPr>
          <w:rFonts w:cs="Arial"/>
          <w:color w:val="000000"/>
        </w:rPr>
        <w:t xml:space="preserve">. </w:t>
      </w:r>
    </w:p>
    <w:p w14:paraId="074820F5" w14:textId="77777777"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 xml:space="preserve">A home and/or school visit to be scheduled. </w:t>
      </w:r>
    </w:p>
    <w:p w14:paraId="7524FE90" w14:textId="7B71E240" w:rsidR="00D8214C" w:rsidRDefault="004E4A0F">
      <w:pPr>
        <w:numPr>
          <w:ilvl w:val="0"/>
          <w:numId w:val="1"/>
        </w:numPr>
        <w:pBdr>
          <w:top w:val="nil"/>
          <w:left w:val="nil"/>
          <w:bottom w:val="nil"/>
          <w:right w:val="nil"/>
          <w:between w:val="nil"/>
        </w:pBdr>
        <w:tabs>
          <w:tab w:val="left" w:pos="3686"/>
        </w:tabs>
        <w:spacing w:after="120"/>
        <w:jc w:val="both"/>
      </w:pPr>
      <w:r>
        <w:rPr>
          <w:rFonts w:cs="Arial"/>
          <w:color w:val="000000"/>
        </w:rPr>
        <w:t xml:space="preserve">If the multi-disciplinary team agree that The Wildings is the most appropriate school for the </w:t>
      </w:r>
      <w:r w:rsidR="00926E60">
        <w:rPr>
          <w:rFonts w:cs="Arial"/>
          <w:color w:val="000000"/>
        </w:rPr>
        <w:t>young person</w:t>
      </w:r>
      <w:r>
        <w:rPr>
          <w:rFonts w:cs="Arial"/>
          <w:color w:val="000000"/>
        </w:rPr>
        <w:t>, a transition plan will then be set into place.</w:t>
      </w:r>
    </w:p>
    <w:p w14:paraId="2746D6EC" w14:textId="77777777" w:rsidR="00D8214C" w:rsidRDefault="00D8214C">
      <w:pPr>
        <w:ind w:left="1480"/>
        <w:jc w:val="both"/>
        <w:rPr>
          <w:b/>
        </w:rPr>
      </w:pPr>
    </w:p>
    <w:p w14:paraId="63AFD1E8" w14:textId="77777777" w:rsidR="00D8214C" w:rsidRDefault="004E4A0F">
      <w:pPr>
        <w:ind w:left="1480"/>
        <w:jc w:val="both"/>
        <w:rPr>
          <w:b/>
        </w:rPr>
      </w:pPr>
      <w:r>
        <w:rPr>
          <w:b/>
        </w:rPr>
        <w:t xml:space="preserve">Consultation and determination </w:t>
      </w:r>
    </w:p>
    <w:p w14:paraId="6B1497A2" w14:textId="1110B162" w:rsidR="00D8214C" w:rsidRDefault="004E4A0F">
      <w:pPr>
        <w:numPr>
          <w:ilvl w:val="1"/>
          <w:numId w:val="2"/>
        </w:numPr>
        <w:pBdr>
          <w:top w:val="nil"/>
          <w:left w:val="nil"/>
          <w:bottom w:val="nil"/>
          <w:right w:val="nil"/>
          <w:between w:val="nil"/>
        </w:pBdr>
        <w:jc w:val="both"/>
      </w:pPr>
      <w:r>
        <w:rPr>
          <w:rFonts w:cs="Arial"/>
          <w:color w:val="000000"/>
        </w:rPr>
        <w:t xml:space="preserve">The Wildings will gather all of the relevant information, and </w:t>
      </w:r>
      <w:r w:rsidR="00926E60">
        <w:rPr>
          <w:rFonts w:cs="Arial"/>
          <w:color w:val="000000"/>
        </w:rPr>
        <w:t>feedback</w:t>
      </w:r>
      <w:r>
        <w:rPr>
          <w:rFonts w:cs="Arial"/>
          <w:color w:val="000000"/>
        </w:rPr>
        <w:t xml:space="preserve"> at respective visits, or consultations with previous placements and other professionals.  Once it has been agreed by all that The Wildings </w:t>
      </w:r>
      <w:r w:rsidR="00926E60">
        <w:rPr>
          <w:rFonts w:cs="Arial"/>
          <w:color w:val="000000"/>
        </w:rPr>
        <w:t>feel</w:t>
      </w:r>
      <w:r>
        <w:rPr>
          <w:rFonts w:cs="Arial"/>
          <w:color w:val="000000"/>
        </w:rPr>
        <w:t xml:space="preserve"> able to meet the </w:t>
      </w:r>
      <w:r w:rsidR="00926E60">
        <w:rPr>
          <w:rFonts w:cs="Arial"/>
          <w:color w:val="000000"/>
        </w:rPr>
        <w:t>young person’s</w:t>
      </w:r>
      <w:r>
        <w:rPr>
          <w:rFonts w:cs="Arial"/>
          <w:color w:val="000000"/>
        </w:rPr>
        <w:t xml:space="preserve"> needs</w:t>
      </w:r>
      <w:r w:rsidR="00926E60">
        <w:rPr>
          <w:rFonts w:cs="Arial"/>
          <w:color w:val="000000"/>
        </w:rPr>
        <w:t>,</w:t>
      </w:r>
      <w:r>
        <w:rPr>
          <w:rFonts w:cs="Arial"/>
          <w:color w:val="000000"/>
        </w:rPr>
        <w:t xml:space="preserve"> an offer of placement will be made in writing to the referring Authority, together with a draft copy of the contract. </w:t>
      </w:r>
    </w:p>
    <w:p w14:paraId="100A0057" w14:textId="77777777" w:rsidR="00D8214C" w:rsidRDefault="00D8214C">
      <w:pPr>
        <w:pBdr>
          <w:top w:val="nil"/>
          <w:left w:val="nil"/>
          <w:bottom w:val="nil"/>
          <w:right w:val="nil"/>
          <w:between w:val="nil"/>
        </w:pBdr>
        <w:ind w:left="1480" w:hanging="482"/>
        <w:jc w:val="both"/>
        <w:rPr>
          <w:rFonts w:cs="Arial"/>
          <w:color w:val="000000"/>
        </w:rPr>
      </w:pPr>
      <w:bookmarkStart w:id="9" w:name="_heading=h.2s8eyo1" w:colFirst="0" w:colLast="0"/>
      <w:bookmarkEnd w:id="9"/>
    </w:p>
    <w:p w14:paraId="6ABBBF07" w14:textId="77777777" w:rsidR="00D8214C" w:rsidRDefault="004E4A0F">
      <w:pPr>
        <w:pStyle w:val="Heading10"/>
        <w:numPr>
          <w:ilvl w:val="0"/>
          <w:numId w:val="2"/>
        </w:numPr>
        <w:jc w:val="both"/>
      </w:pPr>
      <w:bookmarkStart w:id="10" w:name="bookmark=id.3rdcrjn" w:colFirst="0" w:colLast="0"/>
      <w:bookmarkStart w:id="11" w:name="_heading=h.17dp8vu" w:colFirst="0" w:colLast="0"/>
      <w:bookmarkEnd w:id="10"/>
      <w:bookmarkEnd w:id="11"/>
      <w:r>
        <w:t xml:space="preserve">Referral Process </w:t>
      </w:r>
    </w:p>
    <w:p w14:paraId="3F9C5CF0" w14:textId="77777777" w:rsidR="00D8214C" w:rsidRDefault="004E4A0F">
      <w:pPr>
        <w:numPr>
          <w:ilvl w:val="1"/>
          <w:numId w:val="2"/>
        </w:numPr>
        <w:pBdr>
          <w:top w:val="nil"/>
          <w:left w:val="nil"/>
          <w:bottom w:val="nil"/>
          <w:right w:val="nil"/>
          <w:between w:val="nil"/>
        </w:pBdr>
        <w:jc w:val="both"/>
        <w:rPr>
          <w:rFonts w:cs="Arial"/>
          <w:b/>
          <w:color w:val="000000"/>
        </w:rPr>
      </w:pPr>
      <w:r>
        <w:rPr>
          <w:rFonts w:cs="Arial"/>
          <w:color w:val="000000"/>
        </w:rPr>
        <w:t xml:space="preserve">Local Authority staff are always welcome to visit the school before submitting a referral for consideration.  They are also welcome to visit during the referral consultation process.  </w:t>
      </w:r>
    </w:p>
    <w:p w14:paraId="6CA64484" w14:textId="7FB7E89B" w:rsidR="00D8214C" w:rsidRDefault="004E4A0F">
      <w:pPr>
        <w:numPr>
          <w:ilvl w:val="1"/>
          <w:numId w:val="2"/>
        </w:numPr>
        <w:pBdr>
          <w:top w:val="nil"/>
          <w:left w:val="nil"/>
          <w:bottom w:val="nil"/>
          <w:right w:val="nil"/>
          <w:between w:val="nil"/>
        </w:pBdr>
        <w:jc w:val="both"/>
        <w:rPr>
          <w:rFonts w:cs="Arial"/>
          <w:b/>
          <w:color w:val="000000"/>
        </w:rPr>
      </w:pPr>
      <w:r>
        <w:rPr>
          <w:rFonts w:cs="Arial"/>
          <w:color w:val="000000"/>
        </w:rPr>
        <w:t xml:space="preserve">There will be a </w:t>
      </w:r>
      <w:r w:rsidR="00926E60">
        <w:rPr>
          <w:rFonts w:cs="Arial"/>
          <w:color w:val="000000"/>
        </w:rPr>
        <w:t xml:space="preserve">young </w:t>
      </w:r>
      <w:proofErr w:type="gramStart"/>
      <w:r w:rsidR="00926E60">
        <w:rPr>
          <w:rFonts w:cs="Arial"/>
          <w:color w:val="000000"/>
        </w:rPr>
        <w:t>person</w:t>
      </w:r>
      <w:r>
        <w:rPr>
          <w:rFonts w:cs="Arial"/>
          <w:color w:val="000000"/>
        </w:rPr>
        <w:t xml:space="preserve"> </w:t>
      </w:r>
      <w:r w:rsidR="00926E60">
        <w:rPr>
          <w:rFonts w:cs="Arial"/>
          <w:color w:val="000000"/>
        </w:rPr>
        <w:t>centred</w:t>
      </w:r>
      <w:proofErr w:type="gramEnd"/>
      <w:r>
        <w:rPr>
          <w:rFonts w:cs="Arial"/>
          <w:color w:val="000000"/>
        </w:rPr>
        <w:t xml:space="preserve"> approach in regards to the referral, and on receipt of a referral for consideration, there will initially be an internal meeting held to discuss the referral paperwork, and this will be </w:t>
      </w:r>
      <w:r w:rsidR="00926E60">
        <w:rPr>
          <w:rFonts w:cs="Arial"/>
          <w:color w:val="000000"/>
        </w:rPr>
        <w:t>led</w:t>
      </w:r>
      <w:r>
        <w:rPr>
          <w:rFonts w:cs="Arial"/>
          <w:color w:val="000000"/>
        </w:rPr>
        <w:t xml:space="preserve"> by the Principal. </w:t>
      </w:r>
    </w:p>
    <w:p w14:paraId="419F7A48" w14:textId="383B2666" w:rsidR="00D8214C" w:rsidRDefault="004E4A0F">
      <w:pPr>
        <w:numPr>
          <w:ilvl w:val="1"/>
          <w:numId w:val="2"/>
        </w:numPr>
        <w:pBdr>
          <w:top w:val="nil"/>
          <w:left w:val="nil"/>
          <w:bottom w:val="nil"/>
          <w:right w:val="nil"/>
          <w:between w:val="nil"/>
        </w:pBdr>
        <w:jc w:val="both"/>
        <w:rPr>
          <w:rFonts w:cs="Arial"/>
          <w:b/>
          <w:color w:val="000000"/>
        </w:rPr>
      </w:pPr>
      <w:r>
        <w:rPr>
          <w:rFonts w:cs="Arial"/>
          <w:color w:val="000000"/>
        </w:rPr>
        <w:t xml:space="preserve">We will try to gather information from all significant professionals who are associated with the </w:t>
      </w:r>
      <w:r w:rsidR="00926E60">
        <w:rPr>
          <w:rFonts w:cs="Arial"/>
          <w:color w:val="000000"/>
        </w:rPr>
        <w:t>young person</w:t>
      </w:r>
      <w:r>
        <w:rPr>
          <w:rFonts w:cs="Arial"/>
          <w:color w:val="000000"/>
        </w:rPr>
        <w:t xml:space="preserve">, together with meeting the family, parents/carers, previous settings.   Information will be gathered in regards to the </w:t>
      </w:r>
      <w:r w:rsidR="00926E60">
        <w:rPr>
          <w:rFonts w:cs="Arial"/>
          <w:color w:val="000000"/>
        </w:rPr>
        <w:t>young person’s</w:t>
      </w:r>
      <w:r>
        <w:rPr>
          <w:rFonts w:cs="Arial"/>
          <w:color w:val="000000"/>
        </w:rPr>
        <w:t xml:space="preserve"> likes and dislikes, goals and aspirations.  With this information an initial risk assessment will then begin to be drafted. </w:t>
      </w:r>
    </w:p>
    <w:p w14:paraId="1E22FF97" w14:textId="77777777" w:rsidR="00D8214C" w:rsidRDefault="004E4A0F">
      <w:pPr>
        <w:pStyle w:val="Heading10"/>
        <w:numPr>
          <w:ilvl w:val="0"/>
          <w:numId w:val="2"/>
        </w:numPr>
        <w:jc w:val="both"/>
      </w:pPr>
      <w:bookmarkStart w:id="12" w:name="bookmark=id.lnxbz9" w:colFirst="0" w:colLast="0"/>
      <w:bookmarkStart w:id="13" w:name="_heading=h.26in1rg" w:colFirst="0" w:colLast="0"/>
      <w:bookmarkEnd w:id="12"/>
      <w:bookmarkEnd w:id="13"/>
      <w:r>
        <w:t xml:space="preserve">Equality Impact Statement </w:t>
      </w:r>
    </w:p>
    <w:p w14:paraId="3FB3F8C1" w14:textId="541C1F5D" w:rsidR="00D8214C" w:rsidRPr="00926E60" w:rsidRDefault="004E4A0F">
      <w:pPr>
        <w:numPr>
          <w:ilvl w:val="1"/>
          <w:numId w:val="2"/>
        </w:numPr>
        <w:pBdr>
          <w:top w:val="nil"/>
          <w:left w:val="nil"/>
          <w:bottom w:val="nil"/>
          <w:right w:val="nil"/>
          <w:between w:val="nil"/>
        </w:pBdr>
        <w:jc w:val="both"/>
      </w:pPr>
      <w:bookmarkStart w:id="14" w:name="_heading=h.35nkun2" w:colFirst="0" w:colLast="0"/>
      <w:bookmarkEnd w:id="14"/>
      <w:r>
        <w:rPr>
          <w:rFonts w:cs="Arial"/>
          <w:color w:val="000000"/>
        </w:rPr>
        <w:t xml:space="preserve">All relevant colleagues are required to comply with this policy and must demonstrate sensitivity and competence in relation to diversity in race, faith, age, gender, disability </w:t>
      </w:r>
      <w:r>
        <w:rPr>
          <w:rFonts w:cs="Arial"/>
          <w:color w:val="000000"/>
        </w:rPr>
        <w:lastRenderedPageBreak/>
        <w:t xml:space="preserve">and sexual orientation.  If you, or any other groups, believe you are disadvantaged by this policy please contact the Principal or Chair of Governors, they will then actively respond to the enquiry.  </w:t>
      </w:r>
    </w:p>
    <w:p w14:paraId="53924AD1" w14:textId="5ABEFD18" w:rsidR="00926E60" w:rsidRPr="00926E60" w:rsidRDefault="00926E60" w:rsidP="00926E60">
      <w:pPr>
        <w:numPr>
          <w:ilvl w:val="0"/>
          <w:numId w:val="2"/>
        </w:numPr>
        <w:pBdr>
          <w:top w:val="nil"/>
          <w:left w:val="nil"/>
          <w:bottom w:val="nil"/>
          <w:right w:val="nil"/>
          <w:between w:val="nil"/>
        </w:pBdr>
        <w:jc w:val="both"/>
        <w:rPr>
          <w:b/>
          <w:bCs/>
        </w:rPr>
      </w:pPr>
      <w:r w:rsidRPr="00926E60">
        <w:rPr>
          <w:rFonts w:cs="Arial"/>
          <w:b/>
          <w:bCs/>
          <w:color w:val="000000"/>
        </w:rPr>
        <w:t>Monitoring and Review</w:t>
      </w:r>
    </w:p>
    <w:p w14:paraId="3844CF09" w14:textId="56E6AD8A" w:rsidR="00926E60" w:rsidRPr="00FD3A92" w:rsidRDefault="00926E60" w:rsidP="00926E60">
      <w:pPr>
        <w:numPr>
          <w:ilvl w:val="1"/>
          <w:numId w:val="2"/>
        </w:numPr>
        <w:pBdr>
          <w:top w:val="nil"/>
          <w:left w:val="nil"/>
          <w:bottom w:val="nil"/>
          <w:right w:val="nil"/>
          <w:between w:val="nil"/>
        </w:pBdr>
        <w:jc w:val="both"/>
      </w:pPr>
      <w:r>
        <w:rPr>
          <w:rFonts w:cs="Arial"/>
          <w:color w:val="000000"/>
        </w:rPr>
        <w:t xml:space="preserve">This policy is monitored for effectiveness by the Principal, colleagues and the governing board </w:t>
      </w:r>
      <w:r w:rsidR="00FD3A92">
        <w:rPr>
          <w:rFonts w:cs="Arial"/>
          <w:color w:val="000000"/>
        </w:rPr>
        <w:t xml:space="preserve">each year. </w:t>
      </w:r>
    </w:p>
    <w:p w14:paraId="20E56E90" w14:textId="362F56A2" w:rsidR="00926E60" w:rsidRPr="00926E60" w:rsidRDefault="00FD3A92" w:rsidP="00926E60">
      <w:pPr>
        <w:numPr>
          <w:ilvl w:val="1"/>
          <w:numId w:val="2"/>
        </w:numPr>
        <w:pBdr>
          <w:top w:val="nil"/>
          <w:left w:val="nil"/>
          <w:bottom w:val="nil"/>
          <w:right w:val="nil"/>
          <w:between w:val="nil"/>
        </w:pBdr>
        <w:jc w:val="both"/>
      </w:pPr>
      <w:r>
        <w:rPr>
          <w:rFonts w:cs="Arial"/>
          <w:color w:val="000000"/>
        </w:rPr>
        <w:t>The date of next review is February 202</w:t>
      </w:r>
      <w:r w:rsidR="002622FA">
        <w:rPr>
          <w:rFonts w:cs="Arial"/>
          <w:color w:val="000000"/>
        </w:rPr>
        <w:t>2</w:t>
      </w:r>
    </w:p>
    <w:p w14:paraId="765AE717" w14:textId="77777777" w:rsidR="00D8214C" w:rsidRDefault="00D8214C">
      <w:pPr>
        <w:rPr>
          <w:rFonts w:cs="Arial"/>
        </w:rPr>
      </w:pPr>
    </w:p>
    <w:sectPr w:rsidR="00D8214C">
      <w:headerReference w:type="default" r:id="rId15"/>
      <w:headerReference w:type="first" r:id="rId16"/>
      <w:pgSz w:w="11906" w:h="16838"/>
      <w:pgMar w:top="1440" w:right="1440" w:bottom="1440" w:left="1440" w:header="709" w:footer="709"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90B4B" w14:textId="77777777" w:rsidR="00817231" w:rsidRDefault="00817231">
      <w:pPr>
        <w:spacing w:after="0" w:line="240" w:lineRule="auto"/>
      </w:pPr>
      <w:r>
        <w:separator/>
      </w:r>
    </w:p>
  </w:endnote>
  <w:endnote w:type="continuationSeparator" w:id="0">
    <w:p w14:paraId="5F4D4B71" w14:textId="77777777" w:rsidR="00817231" w:rsidRDefault="0081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26FD" w14:textId="77777777" w:rsidR="00D8214C" w:rsidRDefault="00D8214C">
    <w:pPr>
      <w:pBdr>
        <w:top w:val="nil"/>
        <w:left w:val="nil"/>
        <w:bottom w:val="nil"/>
        <w:right w:val="nil"/>
        <w:between w:val="nil"/>
      </w:pBdr>
      <w:tabs>
        <w:tab w:val="center" w:pos="4513"/>
        <w:tab w:val="right" w:pos="9026"/>
      </w:tabs>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5F53" w14:textId="77777777" w:rsidR="00D8214C" w:rsidRDefault="00D8214C">
    <w:pPr>
      <w:pBdr>
        <w:top w:val="nil"/>
        <w:left w:val="nil"/>
        <w:bottom w:val="nil"/>
        <w:right w:val="nil"/>
        <w:between w:val="nil"/>
      </w:pBdr>
      <w:tabs>
        <w:tab w:val="center" w:pos="4513"/>
        <w:tab w:val="right" w:pos="9026"/>
      </w:tabs>
      <w:rPr>
        <w:rFonts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8737" w14:textId="77777777" w:rsidR="00D8214C" w:rsidRDefault="00D8214C">
    <w:pPr>
      <w:pBdr>
        <w:top w:val="nil"/>
        <w:left w:val="nil"/>
        <w:bottom w:val="nil"/>
        <w:right w:val="nil"/>
        <w:between w:val="nil"/>
      </w:pBdr>
      <w:tabs>
        <w:tab w:val="center" w:pos="4513"/>
        <w:tab w:val="right" w:pos="9026"/>
      </w:tabs>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9B4EA" w14:textId="77777777" w:rsidR="00817231" w:rsidRDefault="00817231">
      <w:pPr>
        <w:spacing w:after="0" w:line="240" w:lineRule="auto"/>
      </w:pPr>
      <w:r>
        <w:separator/>
      </w:r>
    </w:p>
  </w:footnote>
  <w:footnote w:type="continuationSeparator" w:id="0">
    <w:p w14:paraId="33EEAB5B" w14:textId="77777777" w:rsidR="00817231" w:rsidRDefault="0081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993D" w14:textId="77777777" w:rsidR="00D8214C" w:rsidRDefault="00D8214C">
    <w:pPr>
      <w:pBdr>
        <w:top w:val="nil"/>
        <w:left w:val="nil"/>
        <w:bottom w:val="nil"/>
        <w:right w:val="nil"/>
        <w:between w:val="nil"/>
      </w:pBdr>
      <w:tabs>
        <w:tab w:val="center" w:pos="4513"/>
        <w:tab w:val="right" w:pos="9026"/>
      </w:tabs>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2F4E" w14:textId="77777777" w:rsidR="00D8214C" w:rsidRDefault="00D8214C">
    <w:pPr>
      <w:pBdr>
        <w:top w:val="nil"/>
        <w:left w:val="nil"/>
        <w:bottom w:val="nil"/>
        <w:right w:val="nil"/>
        <w:between w:val="nil"/>
      </w:pBdr>
      <w:tabs>
        <w:tab w:val="center" w:pos="4513"/>
        <w:tab w:val="right" w:pos="9026"/>
      </w:tabs>
      <w:rPr>
        <w:rFonts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EA2D" w14:textId="77777777" w:rsidR="00D8214C" w:rsidRDefault="004E4A0F">
    <w:pPr>
      <w:pBdr>
        <w:top w:val="nil"/>
        <w:left w:val="nil"/>
        <w:bottom w:val="nil"/>
        <w:right w:val="nil"/>
        <w:between w:val="nil"/>
      </w:pBdr>
      <w:tabs>
        <w:tab w:val="center" w:pos="4513"/>
        <w:tab w:val="right" w:pos="9026"/>
      </w:tabs>
      <w:rPr>
        <w:rFonts w:cs="Arial"/>
        <w:color w:val="000000"/>
      </w:rPr>
    </w:pPr>
    <w:r>
      <w:rPr>
        <w:noProof/>
      </w:rPr>
      <mc:AlternateContent>
        <mc:Choice Requires="wps">
          <w:drawing>
            <wp:anchor distT="45720" distB="45720" distL="114300" distR="114300" simplePos="0" relativeHeight="251658240" behindDoc="0" locked="0" layoutInCell="1" hidden="0" allowOverlap="1" wp14:anchorId="71E290EA" wp14:editId="1BDE4B8F">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36C3E4A0" w14:textId="77777777" w:rsidR="00D8214C" w:rsidRDefault="004E4A0F">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w14:anchorId="71E290EA" id="Rectangle 218" o:spid="_x0000_s1027" style="position:absolute;margin-left:472pt;margin-top:-27.4pt;width:52.0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" stroked="f">
              <v:textbox inset="2.53958mm,1.2694mm,2.53958mm,1.2694mm">
                <w:txbxContent>
                  <w:p w14:paraId="36C3E4A0" w14:textId="77777777" w:rsidR="00D8214C" w:rsidRDefault="004E4A0F">
                    <w:pPr>
                      <w:spacing w:line="275" w:lineRule="auto"/>
                      <w:textDirection w:val="btLr"/>
                    </w:pPr>
                    <w:r>
                      <w:rPr>
                        <w:rFonts w:cs="Arial"/>
                        <w:color w:val="FFFFFF"/>
                        <w:sz w:val="8"/>
                      </w:rPr>
                      <w:t>Teal Salmon Butty</w:t>
                    </w: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E227" w14:textId="77777777" w:rsidR="00D8214C" w:rsidRDefault="00D8214C">
    <w:pPr>
      <w:pBdr>
        <w:top w:val="nil"/>
        <w:left w:val="nil"/>
        <w:bottom w:val="nil"/>
        <w:right w:val="nil"/>
        <w:between w:val="nil"/>
      </w:pBdr>
      <w:tabs>
        <w:tab w:val="center" w:pos="4513"/>
        <w:tab w:val="right" w:pos="9026"/>
      </w:tabs>
      <w:rPr>
        <w:rFonts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5C8B" w14:textId="77777777" w:rsidR="00D8214C" w:rsidRDefault="00D8214C">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1C5B"/>
    <w:multiLevelType w:val="multilevel"/>
    <w:tmpl w:val="2D50DD02"/>
    <w:lvl w:ilvl="0">
      <w:start w:val="1"/>
      <w:numFmt w:val="decimal"/>
      <w:lvlText w:val="%1."/>
      <w:lvlJc w:val="right"/>
      <w:pPr>
        <w:ind w:left="1152" w:hanging="360"/>
      </w:pPr>
      <w:rPr>
        <w:rFonts w:ascii="Arial" w:eastAsia="Arial" w:hAnsi="Arial" w:cs="Arial"/>
        <w:b w:val="0"/>
        <w:color w:val="000000"/>
        <w:sz w:val="28"/>
        <w:szCs w:val="28"/>
      </w:rPr>
    </w:lvl>
    <w:lvl w:ilvl="1">
      <w:start w:val="1"/>
      <w:numFmt w:val="decimal"/>
      <w:lvlText w:val="%1.%2."/>
      <w:lvlJc w:val="right"/>
      <w:pPr>
        <w:ind w:left="1872" w:hanging="360"/>
      </w:pPr>
    </w:lvl>
    <w:lvl w:ilvl="2">
      <w:start w:val="1"/>
      <w:numFmt w:val="decimal"/>
      <w:lvlText w:val="%1.%2.%3."/>
      <w:lvlJc w:val="right"/>
      <w:pPr>
        <w:ind w:left="2772" w:hanging="360"/>
      </w:pPr>
      <w:rPr>
        <w:rFonts w:ascii="Arial" w:eastAsia="Arial" w:hAnsi="Arial" w:cs="Arial"/>
      </w:rPr>
    </w:lvl>
    <w:lvl w:ilvl="3">
      <w:start w:val="1"/>
      <w:numFmt w:val="decimal"/>
      <w:lvlText w:val="%1.%2.%3.%4."/>
      <w:lvlJc w:val="right"/>
      <w:pPr>
        <w:ind w:left="3312" w:hanging="360"/>
      </w:pPr>
    </w:lvl>
    <w:lvl w:ilvl="4">
      <w:start w:val="1"/>
      <w:numFmt w:val="decimal"/>
      <w:lvlText w:val="%1.%2.%3.%4.%5."/>
      <w:lvlJc w:val="right"/>
      <w:pPr>
        <w:ind w:left="4032" w:hanging="360"/>
      </w:pPr>
    </w:lvl>
    <w:lvl w:ilvl="5">
      <w:start w:val="1"/>
      <w:numFmt w:val="decimal"/>
      <w:lvlText w:val="%1.%2.%3.%4.%5.%6."/>
      <w:lvlJc w:val="right"/>
      <w:pPr>
        <w:ind w:left="4752" w:hanging="180"/>
      </w:pPr>
    </w:lvl>
    <w:lvl w:ilvl="6">
      <w:start w:val="1"/>
      <w:numFmt w:val="decimal"/>
      <w:lvlText w:val="%1.%2.%3.%4.%5.%6.%7."/>
      <w:lvlJc w:val="right"/>
      <w:pPr>
        <w:ind w:left="5472" w:hanging="360"/>
      </w:pPr>
    </w:lvl>
    <w:lvl w:ilvl="7">
      <w:start w:val="1"/>
      <w:numFmt w:val="decimal"/>
      <w:lvlText w:val="%1.%2.%3.%4.%5.%6.%7.%8."/>
      <w:lvlJc w:val="right"/>
      <w:pPr>
        <w:ind w:left="6192" w:hanging="360"/>
      </w:pPr>
    </w:lvl>
    <w:lvl w:ilvl="8">
      <w:start w:val="1"/>
      <w:numFmt w:val="decimal"/>
      <w:lvlText w:val="%1.%2.%3.%4.%5.%6.%7.%8.%9."/>
      <w:lvlJc w:val="right"/>
      <w:pPr>
        <w:ind w:left="6912" w:hanging="180"/>
      </w:pPr>
    </w:lvl>
  </w:abstractNum>
  <w:abstractNum w:abstractNumId="1" w15:restartNumberingAfterBreak="0">
    <w:nsid w:val="47C51FD1"/>
    <w:multiLevelType w:val="multilevel"/>
    <w:tmpl w:val="B0FADB6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SB-Level2Number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5DF2100"/>
    <w:multiLevelType w:val="multilevel"/>
    <w:tmpl w:val="7534B948"/>
    <w:lvl w:ilvl="0">
      <w:start w:val="1"/>
      <w:numFmt w:val="decimal"/>
      <w:lvlText w:val="%1."/>
      <w:lvlJc w:val="left"/>
      <w:pPr>
        <w:ind w:left="360" w:hanging="360"/>
      </w:pPr>
      <w:rPr>
        <w:b/>
      </w:rPr>
    </w:lvl>
    <w:lvl w:ilvl="1">
      <w:start w:val="1"/>
      <w:numFmt w:val="decimal"/>
      <w:pStyle w:val="Heading2"/>
      <w:lvlText w:val="%1.%2."/>
      <w:lvlJc w:val="center"/>
      <w:pPr>
        <w:ind w:left="792" w:hanging="432"/>
      </w:pPr>
      <w:rPr>
        <w:b w:val="0"/>
        <w:color w:val="000000"/>
        <w:sz w:val="22"/>
        <w:szCs w:val="22"/>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7"/>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3" w15:restartNumberingAfterBreak="0">
    <w:nsid w:val="5B7853BD"/>
    <w:multiLevelType w:val="multilevel"/>
    <w:tmpl w:val="88C2F1AA"/>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D205083"/>
    <w:multiLevelType w:val="multilevel"/>
    <w:tmpl w:val="E47038DC"/>
    <w:lvl w:ilvl="0">
      <w:start w:val="1"/>
      <w:numFmt w:val="bullet"/>
      <w:lvlText w:val="●"/>
      <w:lvlJc w:val="left"/>
      <w:pPr>
        <w:ind w:left="2500" w:hanging="360"/>
      </w:pPr>
      <w:rPr>
        <w:rFonts w:ascii="Noto Sans Symbols" w:eastAsia="Noto Sans Symbols" w:hAnsi="Noto Sans Symbols" w:cs="Noto Sans Symbols"/>
      </w:rPr>
    </w:lvl>
    <w:lvl w:ilvl="1">
      <w:start w:val="1"/>
      <w:numFmt w:val="bullet"/>
      <w:lvlText w:val="o"/>
      <w:lvlJc w:val="left"/>
      <w:pPr>
        <w:ind w:left="3220" w:hanging="360"/>
      </w:pPr>
      <w:rPr>
        <w:rFonts w:ascii="Courier New" w:eastAsia="Courier New" w:hAnsi="Courier New" w:cs="Courier New"/>
      </w:rPr>
    </w:lvl>
    <w:lvl w:ilvl="2">
      <w:start w:val="1"/>
      <w:numFmt w:val="bullet"/>
      <w:lvlText w:val="▪"/>
      <w:lvlJc w:val="left"/>
      <w:pPr>
        <w:ind w:left="3940" w:hanging="360"/>
      </w:pPr>
      <w:rPr>
        <w:rFonts w:ascii="Noto Sans Symbols" w:eastAsia="Noto Sans Symbols" w:hAnsi="Noto Sans Symbols" w:cs="Noto Sans Symbols"/>
      </w:rPr>
    </w:lvl>
    <w:lvl w:ilvl="3">
      <w:start w:val="1"/>
      <w:numFmt w:val="bullet"/>
      <w:lvlText w:val="●"/>
      <w:lvlJc w:val="left"/>
      <w:pPr>
        <w:ind w:left="4660" w:hanging="360"/>
      </w:pPr>
      <w:rPr>
        <w:rFonts w:ascii="Noto Sans Symbols" w:eastAsia="Noto Sans Symbols" w:hAnsi="Noto Sans Symbols" w:cs="Noto Sans Symbols"/>
      </w:rPr>
    </w:lvl>
    <w:lvl w:ilvl="4">
      <w:start w:val="1"/>
      <w:numFmt w:val="bullet"/>
      <w:lvlText w:val="o"/>
      <w:lvlJc w:val="left"/>
      <w:pPr>
        <w:ind w:left="5380" w:hanging="360"/>
      </w:pPr>
      <w:rPr>
        <w:rFonts w:ascii="Courier New" w:eastAsia="Courier New" w:hAnsi="Courier New" w:cs="Courier New"/>
      </w:rPr>
    </w:lvl>
    <w:lvl w:ilvl="5">
      <w:start w:val="1"/>
      <w:numFmt w:val="bullet"/>
      <w:lvlText w:val="▪"/>
      <w:lvlJc w:val="left"/>
      <w:pPr>
        <w:ind w:left="6100" w:hanging="360"/>
      </w:pPr>
      <w:rPr>
        <w:rFonts w:ascii="Noto Sans Symbols" w:eastAsia="Noto Sans Symbols" w:hAnsi="Noto Sans Symbols" w:cs="Noto Sans Symbols"/>
      </w:rPr>
    </w:lvl>
    <w:lvl w:ilvl="6">
      <w:start w:val="1"/>
      <w:numFmt w:val="bullet"/>
      <w:lvlText w:val="●"/>
      <w:lvlJc w:val="left"/>
      <w:pPr>
        <w:ind w:left="6820" w:hanging="360"/>
      </w:pPr>
      <w:rPr>
        <w:rFonts w:ascii="Noto Sans Symbols" w:eastAsia="Noto Sans Symbols" w:hAnsi="Noto Sans Symbols" w:cs="Noto Sans Symbols"/>
      </w:rPr>
    </w:lvl>
    <w:lvl w:ilvl="7">
      <w:start w:val="1"/>
      <w:numFmt w:val="bullet"/>
      <w:lvlText w:val="o"/>
      <w:lvlJc w:val="left"/>
      <w:pPr>
        <w:ind w:left="7540" w:hanging="360"/>
      </w:pPr>
      <w:rPr>
        <w:rFonts w:ascii="Courier New" w:eastAsia="Courier New" w:hAnsi="Courier New" w:cs="Courier New"/>
      </w:rPr>
    </w:lvl>
    <w:lvl w:ilvl="8">
      <w:start w:val="1"/>
      <w:numFmt w:val="bullet"/>
      <w:lvlText w:val="▪"/>
      <w:lvlJc w:val="left"/>
      <w:pPr>
        <w:ind w:left="826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4C"/>
    <w:rsid w:val="002622FA"/>
    <w:rsid w:val="004E4A0F"/>
    <w:rsid w:val="00817231"/>
    <w:rsid w:val="00926E60"/>
    <w:rsid w:val="00D8214C"/>
    <w:rsid w:val="00FD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3D08"/>
  <w15:docId w15:val="{AA83346E-DA45-7944-83AC-DDB8BD5F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D1"/>
    <w:rPr>
      <w:rFonts w:cs="Times New Roman"/>
    </w:rPr>
  </w:style>
  <w:style w:type="paragraph" w:styleId="Heading1">
    <w:name w:val="heading 1"/>
    <w:aliases w:val="TSB Headings"/>
    <w:basedOn w:val="ListParagraph"/>
    <w:next w:val="Normal"/>
    <w:link w:val="Heading1Char"/>
    <w:uiPriority w:val="9"/>
    <w:qFormat/>
    <w:rsid w:val="004876F4"/>
    <w:pPr>
      <w:numPr>
        <w:numId w:val="4"/>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4876F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
    <w:link w:val="TSB-Level1NumbersChar"/>
    <w:qFormat/>
    <w:rsid w:val="007D26DA"/>
    <w:pPr>
      <w:numPr>
        <w:numId w:val="0"/>
      </w:numPr>
      <w:tabs>
        <w:tab w:val="num" w:pos="1440"/>
      </w:tabs>
      <w:ind w:left="1480" w:hanging="482"/>
      <w:contextualSpacing w:val="0"/>
    </w:pPr>
    <w:rPr>
      <w:rFonts w:cstheme="minorHAnsi"/>
      <w:b w:val="0"/>
      <w:sz w:val="22"/>
    </w:rPr>
  </w:style>
  <w:style w:type="paragraph" w:customStyle="1" w:styleId="Heading10">
    <w:name w:val="Heading1"/>
    <w:basedOn w:val="Normal"/>
    <w:next w:val="Normal"/>
    <w:rsid w:val="002255EF"/>
    <w:pPr>
      <w:tabs>
        <w:tab w:val="num" w:pos="720"/>
      </w:tabs>
      <w:spacing w:before="120" w:after="120" w:line="320" w:lineRule="exact"/>
      <w:ind w:left="720" w:hanging="720"/>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3C01D1"/>
    <w:rPr>
      <w:color w:val="7030A0"/>
      <w:u w:val="single"/>
    </w:rPr>
  </w:style>
  <w:style w:type="paragraph" w:customStyle="1" w:styleId="TSB-PolicyBullets">
    <w:name w:val="TSB - Policy Bullets"/>
    <w:basedOn w:val="ListParagraph"/>
    <w:link w:val="TSB-PolicyBulletsChar"/>
    <w:autoRedefine/>
    <w:qFormat/>
    <w:rsid w:val="000F3DCD"/>
    <w:pPr>
      <w:tabs>
        <w:tab w:val="num" w:pos="720"/>
        <w:tab w:val="left" w:pos="3686"/>
      </w:tabs>
      <w:spacing w:after="120"/>
      <w:ind w:hanging="720"/>
      <w:contextualSpacing w:val="0"/>
      <w:jc w:val="both"/>
    </w:pPr>
    <w:rPr>
      <w:rFonts w:ascii="Arial" w:hAnsi="Arial" w:cs="Arial"/>
      <w:bCs/>
      <w:szCs w:val="23"/>
    </w:rPr>
  </w:style>
  <w:style w:type="paragraph" w:customStyle="1" w:styleId="TSB-Level2Numbers">
    <w:name w:val="TSB - Level 2 Numbers"/>
    <w:basedOn w:val="TSB-Level1Numbers"/>
    <w:link w:val="TSB-Level2NumbersChar"/>
    <w:autoRedefine/>
    <w:qFormat/>
    <w:rsid w:val="008D4F9D"/>
    <w:pPr>
      <w:numPr>
        <w:ilvl w:val="2"/>
        <w:numId w:val="7"/>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0F3DCD"/>
    <w:rPr>
      <w:bCs/>
      <w:szCs w:val="23"/>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tabs>
        <w:tab w:val="num" w:pos="720"/>
      </w:tabs>
      <w:spacing w:after="0"/>
      <w:ind w:left="1922" w:hanging="357"/>
    </w:pPr>
  </w:style>
  <w:style w:type="character" w:styleId="UnresolvedMention">
    <w:name w:val="Unresolved Mention"/>
    <w:basedOn w:val="DefaultParagraphFont"/>
    <w:uiPriority w:val="99"/>
    <w:semiHidden/>
    <w:unhideWhenUsed/>
    <w:rsid w:val="00465B7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857XLT0mPDf2NizwE6ogjpDEgg==">AMUW2mXx1FGPpucLmyKptUoMgtwm2ASoUe9i6gNFHKvi+0PvZboyStugfW8DDnh+wUy31DXMqbVNwwm7X3tdSY6Wt/RMQUA3MapXClK+E8TgwDLMrpLywnm2N3Q0b2dbMKUSBVepeJjNA1FWf5mIbfVwp/GiSbgtLPUc/4RmUoZeXRBs1HfmDo3X0x/0AhzowaWGE45kw8w2yL9jzOIqUcvk6Fei2Dl6pM+4PwEQMtKvK6oB6KS9T5sIEl5fwcp6EQKF5XhavbvIc8OcOAsJB9+7q1ieozUuxavk22Di/ScGoegQyPAycr3OiYG19umBS/qv5blac9epYtaJWcIYK3/J2FD7H11t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Microsoft Office User</cp:lastModifiedBy>
  <cp:revision>3</cp:revision>
  <dcterms:created xsi:type="dcterms:W3CDTF">2021-02-14T19:26:00Z</dcterms:created>
  <dcterms:modified xsi:type="dcterms:W3CDTF">2021-02-14T19:42:00Z</dcterms:modified>
</cp:coreProperties>
</file>